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5F9" w:rsidRPr="00D364BE" w:rsidRDefault="008475F9" w:rsidP="008475F9">
      <w:pPr>
        <w:rPr>
          <w:b/>
          <w:sz w:val="26"/>
          <w:szCs w:val="26"/>
        </w:rPr>
      </w:pPr>
      <w:r w:rsidRPr="00D364BE">
        <w:rPr>
          <w:b/>
          <w:sz w:val="26"/>
          <w:szCs w:val="26"/>
        </w:rPr>
        <w:tab/>
      </w:r>
      <w:r w:rsidRPr="00D364BE">
        <w:rPr>
          <w:b/>
          <w:sz w:val="26"/>
          <w:szCs w:val="26"/>
        </w:rPr>
        <w:tab/>
      </w:r>
      <w:r w:rsidRPr="00D364BE">
        <w:rPr>
          <w:b/>
          <w:sz w:val="26"/>
          <w:szCs w:val="26"/>
        </w:rPr>
        <w:tab/>
      </w:r>
      <w:r w:rsidRPr="00D364BE">
        <w:rPr>
          <w:b/>
          <w:sz w:val="26"/>
          <w:szCs w:val="26"/>
        </w:rPr>
        <w:tab/>
      </w:r>
      <w:r w:rsidRPr="00D364BE">
        <w:rPr>
          <w:b/>
          <w:sz w:val="26"/>
          <w:szCs w:val="26"/>
        </w:rPr>
        <w:tab/>
      </w:r>
      <w:r w:rsidRPr="00D364BE">
        <w:rPr>
          <w:b/>
          <w:sz w:val="26"/>
          <w:szCs w:val="26"/>
        </w:rPr>
        <w:tab/>
      </w:r>
    </w:p>
    <w:p w:rsidR="008475F9" w:rsidRPr="00D364BE" w:rsidRDefault="008475F9" w:rsidP="00570351">
      <w:pPr>
        <w:ind w:left="2832" w:firstLine="708"/>
        <w:rPr>
          <w:b/>
          <w:sz w:val="26"/>
          <w:szCs w:val="26"/>
        </w:rPr>
      </w:pPr>
      <w:proofErr w:type="spellStart"/>
      <w:r w:rsidRPr="00D364BE">
        <w:rPr>
          <w:b/>
          <w:sz w:val="26"/>
          <w:szCs w:val="26"/>
        </w:rPr>
        <w:t>Spett.le</w:t>
      </w:r>
      <w:proofErr w:type="spellEnd"/>
      <w:r w:rsidRPr="00D364BE">
        <w:rPr>
          <w:b/>
          <w:sz w:val="26"/>
          <w:szCs w:val="26"/>
        </w:rPr>
        <w:t xml:space="preserve"> </w:t>
      </w:r>
      <w:r w:rsidRPr="00D364BE">
        <w:rPr>
          <w:b/>
          <w:sz w:val="26"/>
          <w:szCs w:val="26"/>
        </w:rPr>
        <w:tab/>
        <w:t>COMUNE DI MARTINA FRANCA</w:t>
      </w:r>
    </w:p>
    <w:p w:rsidR="008475F9" w:rsidRPr="00D364BE" w:rsidRDefault="008475F9" w:rsidP="008475F9">
      <w:pPr>
        <w:rPr>
          <w:b/>
          <w:sz w:val="26"/>
          <w:szCs w:val="26"/>
        </w:rPr>
      </w:pPr>
    </w:p>
    <w:p w:rsidR="008475F9" w:rsidRPr="00D364BE" w:rsidRDefault="008475F9" w:rsidP="005722CE">
      <w:pPr>
        <w:jc w:val="right"/>
        <w:rPr>
          <w:b/>
          <w:sz w:val="26"/>
          <w:szCs w:val="26"/>
        </w:rPr>
      </w:pPr>
      <w:r w:rsidRPr="00D364BE">
        <w:rPr>
          <w:b/>
          <w:sz w:val="26"/>
          <w:szCs w:val="26"/>
        </w:rPr>
        <w:t>c.a.</w:t>
      </w:r>
      <w:r w:rsidRPr="00D364BE">
        <w:rPr>
          <w:b/>
          <w:sz w:val="26"/>
          <w:szCs w:val="26"/>
        </w:rPr>
        <w:tab/>
      </w:r>
      <w:r w:rsidRPr="00D364BE">
        <w:rPr>
          <w:b/>
          <w:sz w:val="26"/>
          <w:szCs w:val="26"/>
        </w:rPr>
        <w:tab/>
        <w:t>Sig. Presidente del Consiglio Comunale</w:t>
      </w:r>
    </w:p>
    <w:p w:rsidR="005722CE" w:rsidRPr="00D364BE" w:rsidRDefault="00570351" w:rsidP="005722CE">
      <w:pPr>
        <w:jc w:val="right"/>
        <w:rPr>
          <w:b/>
          <w:sz w:val="26"/>
          <w:szCs w:val="26"/>
        </w:rPr>
      </w:pPr>
      <w:r w:rsidRPr="00D364BE">
        <w:rPr>
          <w:b/>
          <w:sz w:val="26"/>
          <w:szCs w:val="26"/>
        </w:rPr>
        <w:tab/>
      </w:r>
      <w:r w:rsidRPr="00D364BE">
        <w:rPr>
          <w:b/>
          <w:sz w:val="26"/>
          <w:szCs w:val="26"/>
        </w:rPr>
        <w:tab/>
      </w:r>
      <w:r w:rsidRPr="00D364BE">
        <w:rPr>
          <w:b/>
          <w:sz w:val="26"/>
          <w:szCs w:val="26"/>
        </w:rPr>
        <w:tab/>
      </w:r>
      <w:r w:rsidRPr="00D364BE">
        <w:rPr>
          <w:b/>
          <w:sz w:val="26"/>
          <w:szCs w:val="26"/>
        </w:rPr>
        <w:tab/>
      </w:r>
      <w:r w:rsidRPr="00D364BE">
        <w:rPr>
          <w:b/>
          <w:sz w:val="26"/>
          <w:szCs w:val="26"/>
        </w:rPr>
        <w:tab/>
      </w:r>
      <w:r w:rsidRPr="00D364BE">
        <w:rPr>
          <w:b/>
          <w:sz w:val="26"/>
          <w:szCs w:val="26"/>
        </w:rPr>
        <w:tab/>
      </w:r>
      <w:r w:rsidRPr="00D364BE">
        <w:rPr>
          <w:b/>
          <w:sz w:val="26"/>
          <w:szCs w:val="26"/>
        </w:rPr>
        <w:tab/>
      </w:r>
      <w:r w:rsidR="008475F9" w:rsidRPr="00D364BE">
        <w:rPr>
          <w:b/>
          <w:sz w:val="26"/>
          <w:szCs w:val="26"/>
        </w:rPr>
        <w:t>Sig. Sindaco</w:t>
      </w:r>
    </w:p>
    <w:p w:rsidR="005722CE" w:rsidRPr="00D364BE" w:rsidRDefault="005722CE" w:rsidP="005722CE">
      <w:pPr>
        <w:jc w:val="right"/>
        <w:rPr>
          <w:b/>
          <w:sz w:val="26"/>
          <w:szCs w:val="26"/>
        </w:rPr>
      </w:pPr>
      <w:r w:rsidRPr="00D364BE">
        <w:rPr>
          <w:b/>
          <w:sz w:val="26"/>
          <w:szCs w:val="26"/>
        </w:rPr>
        <w:t xml:space="preserve"> Alla 1^, 3^ e 6^ </w:t>
      </w:r>
    </w:p>
    <w:p w:rsidR="005722CE" w:rsidRPr="00D364BE" w:rsidRDefault="005722CE" w:rsidP="00D364BE">
      <w:pPr>
        <w:ind w:left="4248" w:firstLine="708"/>
        <w:jc w:val="center"/>
        <w:rPr>
          <w:b/>
          <w:sz w:val="26"/>
          <w:szCs w:val="26"/>
        </w:rPr>
      </w:pPr>
      <w:r w:rsidRPr="00D364BE">
        <w:rPr>
          <w:b/>
          <w:sz w:val="26"/>
          <w:szCs w:val="26"/>
        </w:rPr>
        <w:t>Commissione consiliare   permanente</w:t>
      </w:r>
    </w:p>
    <w:p w:rsidR="008475F9" w:rsidRPr="00D364BE" w:rsidRDefault="008475F9" w:rsidP="005722CE">
      <w:pPr>
        <w:jc w:val="right"/>
        <w:rPr>
          <w:b/>
          <w:sz w:val="26"/>
          <w:szCs w:val="26"/>
        </w:rPr>
      </w:pPr>
    </w:p>
    <w:p w:rsidR="008475F9" w:rsidRPr="00D364BE" w:rsidRDefault="008475F9" w:rsidP="00D364BE">
      <w:pPr>
        <w:ind w:left="1416" w:firstLine="708"/>
        <w:jc w:val="center"/>
        <w:rPr>
          <w:b/>
          <w:sz w:val="26"/>
          <w:szCs w:val="26"/>
        </w:rPr>
      </w:pPr>
      <w:r w:rsidRPr="00D364BE">
        <w:rPr>
          <w:b/>
          <w:sz w:val="26"/>
          <w:szCs w:val="26"/>
        </w:rPr>
        <w:t>p.c.</w:t>
      </w:r>
      <w:r w:rsidRPr="00D364BE">
        <w:rPr>
          <w:b/>
          <w:sz w:val="26"/>
          <w:szCs w:val="26"/>
        </w:rPr>
        <w:tab/>
      </w:r>
      <w:r w:rsidR="001D3CAE" w:rsidRPr="00D364BE">
        <w:rPr>
          <w:b/>
          <w:sz w:val="26"/>
          <w:szCs w:val="26"/>
        </w:rPr>
        <w:tab/>
      </w:r>
      <w:r w:rsidRPr="00D364BE">
        <w:rPr>
          <w:b/>
          <w:sz w:val="26"/>
          <w:szCs w:val="26"/>
        </w:rPr>
        <w:t>Sig. Segretario Generale</w:t>
      </w:r>
    </w:p>
    <w:p w:rsidR="008475F9" w:rsidRPr="00D364BE" w:rsidRDefault="008475F9" w:rsidP="008475F9">
      <w:pPr>
        <w:widowControl w:val="0"/>
        <w:spacing w:line="567" w:lineRule="exact"/>
        <w:jc w:val="both"/>
        <w:rPr>
          <w:b/>
          <w:sz w:val="26"/>
          <w:szCs w:val="26"/>
        </w:rPr>
      </w:pPr>
    </w:p>
    <w:p w:rsidR="00D364BE" w:rsidRPr="00D364BE" w:rsidRDefault="00D364BE" w:rsidP="008475F9">
      <w:pPr>
        <w:widowControl w:val="0"/>
        <w:spacing w:line="567" w:lineRule="exact"/>
        <w:jc w:val="both"/>
        <w:rPr>
          <w:b/>
          <w:sz w:val="26"/>
          <w:szCs w:val="26"/>
        </w:rPr>
      </w:pPr>
    </w:p>
    <w:p w:rsidR="008475F9" w:rsidRPr="00D364BE" w:rsidRDefault="008475F9" w:rsidP="008475F9">
      <w:pPr>
        <w:widowControl w:val="0"/>
        <w:spacing w:line="567" w:lineRule="exact"/>
        <w:jc w:val="both"/>
        <w:rPr>
          <w:b/>
          <w:sz w:val="26"/>
          <w:szCs w:val="26"/>
        </w:rPr>
      </w:pPr>
    </w:p>
    <w:p w:rsidR="008475F9" w:rsidRPr="00D364BE" w:rsidRDefault="008475F9" w:rsidP="008475F9">
      <w:pPr>
        <w:widowControl w:val="0"/>
        <w:spacing w:line="567" w:lineRule="exact"/>
        <w:jc w:val="both"/>
        <w:rPr>
          <w:b/>
          <w:sz w:val="26"/>
          <w:szCs w:val="26"/>
        </w:rPr>
      </w:pPr>
      <w:r w:rsidRPr="00D364BE">
        <w:rPr>
          <w:b/>
          <w:sz w:val="26"/>
          <w:szCs w:val="26"/>
        </w:rPr>
        <w:t>PROPOSTA DI ORDINE DEL GIORNO PER IL CONSIGLIO COMUNALE  DI MARTINA FRANCA</w:t>
      </w:r>
    </w:p>
    <w:p w:rsidR="008475F9" w:rsidRPr="00D364BE" w:rsidRDefault="008475F9" w:rsidP="008475F9">
      <w:pPr>
        <w:widowControl w:val="0"/>
        <w:spacing w:line="567" w:lineRule="exact"/>
        <w:jc w:val="both"/>
        <w:rPr>
          <w:b/>
          <w:sz w:val="26"/>
          <w:szCs w:val="26"/>
        </w:rPr>
      </w:pPr>
    </w:p>
    <w:p w:rsidR="008475F9" w:rsidRPr="00D364BE" w:rsidRDefault="008475F9" w:rsidP="008475F9">
      <w:pPr>
        <w:widowControl w:val="0"/>
        <w:spacing w:line="567" w:lineRule="exact"/>
        <w:jc w:val="both"/>
        <w:rPr>
          <w:b/>
          <w:sz w:val="26"/>
          <w:szCs w:val="26"/>
        </w:rPr>
      </w:pPr>
    </w:p>
    <w:p w:rsidR="008475F9" w:rsidRPr="00D364BE" w:rsidRDefault="002B76AB" w:rsidP="008475F9">
      <w:pPr>
        <w:widowControl w:val="0"/>
        <w:spacing w:line="567" w:lineRule="exact"/>
        <w:jc w:val="both"/>
        <w:rPr>
          <w:b/>
          <w:sz w:val="26"/>
          <w:szCs w:val="26"/>
        </w:rPr>
      </w:pPr>
      <w:r w:rsidRPr="00D364BE">
        <w:rPr>
          <w:b/>
          <w:sz w:val="26"/>
          <w:szCs w:val="26"/>
        </w:rPr>
        <w:t>OGGETTO : Riconoscimento delle Unioni C</w:t>
      </w:r>
      <w:r w:rsidR="00613880" w:rsidRPr="00D364BE">
        <w:rPr>
          <w:b/>
          <w:sz w:val="26"/>
          <w:szCs w:val="26"/>
        </w:rPr>
        <w:t>ivili. Approvazione regolamento.</w:t>
      </w:r>
    </w:p>
    <w:p w:rsidR="008475F9" w:rsidRPr="00D364BE" w:rsidRDefault="008475F9" w:rsidP="008475F9">
      <w:pPr>
        <w:widowControl w:val="0"/>
        <w:spacing w:line="567" w:lineRule="exact"/>
        <w:jc w:val="both"/>
        <w:rPr>
          <w:b/>
          <w:sz w:val="26"/>
          <w:szCs w:val="26"/>
        </w:rPr>
      </w:pPr>
    </w:p>
    <w:p w:rsidR="008475F9" w:rsidRPr="00D364BE" w:rsidRDefault="008475F9" w:rsidP="008475F9">
      <w:pPr>
        <w:jc w:val="both"/>
        <w:rPr>
          <w:sz w:val="26"/>
          <w:szCs w:val="26"/>
        </w:rPr>
      </w:pPr>
      <w:r w:rsidRPr="00D364BE">
        <w:rPr>
          <w:sz w:val="26"/>
          <w:szCs w:val="26"/>
        </w:rPr>
        <w:t xml:space="preserve">Visto l’art. 43 del TUEL, </w:t>
      </w:r>
      <w:r w:rsidR="005722CE" w:rsidRPr="00D364BE">
        <w:rPr>
          <w:sz w:val="26"/>
          <w:szCs w:val="26"/>
        </w:rPr>
        <w:t>d.lgs.</w:t>
      </w:r>
      <w:r w:rsidRPr="00D364BE">
        <w:rPr>
          <w:sz w:val="26"/>
          <w:szCs w:val="26"/>
        </w:rPr>
        <w:t xml:space="preserve"> 267/2000</w:t>
      </w:r>
    </w:p>
    <w:p w:rsidR="008475F9" w:rsidRPr="00D364BE" w:rsidRDefault="008475F9" w:rsidP="008475F9">
      <w:pPr>
        <w:jc w:val="both"/>
        <w:rPr>
          <w:sz w:val="26"/>
          <w:szCs w:val="26"/>
        </w:rPr>
      </w:pPr>
      <w:r w:rsidRPr="00D364BE">
        <w:rPr>
          <w:sz w:val="26"/>
          <w:szCs w:val="26"/>
        </w:rPr>
        <w:t>Visti gli artt. 14 e 22 dello Statuto comunale</w:t>
      </w:r>
    </w:p>
    <w:p w:rsidR="008475F9" w:rsidRPr="00D364BE" w:rsidRDefault="008475F9" w:rsidP="008475F9">
      <w:pPr>
        <w:jc w:val="both"/>
        <w:rPr>
          <w:sz w:val="26"/>
          <w:szCs w:val="26"/>
        </w:rPr>
      </w:pPr>
      <w:r w:rsidRPr="00D364BE">
        <w:rPr>
          <w:sz w:val="26"/>
          <w:szCs w:val="26"/>
        </w:rPr>
        <w:t>Visto l’art. 9 del Regolamento per le adunanze e il funzionamento del Consiglio Comunale</w:t>
      </w:r>
    </w:p>
    <w:p w:rsidR="008475F9" w:rsidRPr="00D364BE" w:rsidRDefault="008475F9" w:rsidP="008475F9">
      <w:pPr>
        <w:widowControl w:val="0"/>
        <w:spacing w:line="567" w:lineRule="exact"/>
        <w:jc w:val="both"/>
        <w:rPr>
          <w:b/>
          <w:sz w:val="26"/>
          <w:szCs w:val="26"/>
        </w:rPr>
      </w:pPr>
    </w:p>
    <w:p w:rsidR="00613880" w:rsidRPr="00D364BE" w:rsidRDefault="002500B9" w:rsidP="008475F9">
      <w:pPr>
        <w:widowControl w:val="0"/>
        <w:spacing w:line="567" w:lineRule="exact"/>
        <w:jc w:val="both"/>
        <w:rPr>
          <w:sz w:val="26"/>
          <w:szCs w:val="26"/>
        </w:rPr>
      </w:pPr>
      <w:r w:rsidRPr="00D364BE">
        <w:rPr>
          <w:sz w:val="26"/>
          <w:szCs w:val="26"/>
        </w:rPr>
        <w:t>PREMESSO CHE – L</w:t>
      </w:r>
      <w:r w:rsidR="00613880" w:rsidRPr="00D364BE">
        <w:rPr>
          <w:sz w:val="26"/>
          <w:szCs w:val="26"/>
        </w:rPr>
        <w:t>a comunità cittadina, al pari di quella nazionale, è caratterizzata dal crescere di forme di legami</w:t>
      </w:r>
      <w:r w:rsidR="00F92B43" w:rsidRPr="00D364BE">
        <w:rPr>
          <w:sz w:val="26"/>
          <w:szCs w:val="26"/>
        </w:rPr>
        <w:t xml:space="preserve"> affettivi che non si esplicitano o non si possono concretizzare</w:t>
      </w:r>
      <w:r w:rsidR="00613880" w:rsidRPr="00D364BE">
        <w:rPr>
          <w:sz w:val="26"/>
          <w:szCs w:val="26"/>
        </w:rPr>
        <w:t xml:space="preserve"> nell’istituto del matrimonio e che si denotano per una convivenza stabile e duratura; le donne e gli uomini che compongono la comunità martinese si riconoscono nei valori della libertà, giustizia, pace, solidarietà, cooperazione, pari opportunità, responsabilità individuale e sociale, operosità e spirito di iniziativa, promozione della cultura e della qualità della vita, rispetto dell’ambiente, riconoscimento del ruolo della famiglia</w:t>
      </w:r>
      <w:r w:rsidRPr="00D364BE">
        <w:rPr>
          <w:sz w:val="26"/>
          <w:szCs w:val="26"/>
        </w:rPr>
        <w:t xml:space="preserve"> nelle sue diverse espres</w:t>
      </w:r>
      <w:r w:rsidR="00F92B43" w:rsidRPr="00D364BE">
        <w:rPr>
          <w:sz w:val="26"/>
          <w:szCs w:val="26"/>
        </w:rPr>
        <w:t>sioni, rispetto e valorizzazione</w:t>
      </w:r>
      <w:r w:rsidRPr="00D364BE">
        <w:rPr>
          <w:sz w:val="26"/>
          <w:szCs w:val="26"/>
        </w:rPr>
        <w:t xml:space="preserve"> delle differenze;</w:t>
      </w:r>
    </w:p>
    <w:p w:rsidR="001D3CAE" w:rsidRPr="00D364BE" w:rsidRDefault="001D3CAE" w:rsidP="008475F9">
      <w:pPr>
        <w:widowControl w:val="0"/>
        <w:spacing w:line="567" w:lineRule="exact"/>
        <w:jc w:val="both"/>
        <w:rPr>
          <w:sz w:val="26"/>
          <w:szCs w:val="26"/>
        </w:rPr>
      </w:pPr>
    </w:p>
    <w:p w:rsidR="002500B9" w:rsidRPr="00D364BE" w:rsidRDefault="002500B9" w:rsidP="008475F9">
      <w:pPr>
        <w:widowControl w:val="0"/>
        <w:spacing w:line="567" w:lineRule="exact"/>
        <w:jc w:val="both"/>
        <w:rPr>
          <w:sz w:val="26"/>
          <w:szCs w:val="26"/>
        </w:rPr>
      </w:pPr>
      <w:r w:rsidRPr="00D364BE">
        <w:rPr>
          <w:sz w:val="26"/>
          <w:szCs w:val="26"/>
        </w:rPr>
        <w:t xml:space="preserve">ATTESO CHE – Già da tempo è stato ritenuto che l’ambito di operatività e quindi di riconoscimento e tutela costituzionale dell’articolo 2 della Costituzione si estende sicuramente alla fattispecie della famiglia di fatto dal momento che, come nella sua giurisprudenza costante </w:t>
      </w:r>
      <w:r w:rsidR="005722CE" w:rsidRPr="00D364BE">
        <w:rPr>
          <w:sz w:val="26"/>
          <w:szCs w:val="26"/>
        </w:rPr>
        <w:t>h</w:t>
      </w:r>
      <w:r w:rsidRPr="00D364BE">
        <w:rPr>
          <w:sz w:val="26"/>
          <w:szCs w:val="26"/>
        </w:rPr>
        <w:t xml:space="preserve">a rilevato </w:t>
      </w:r>
      <w:smartTag w:uri="urn:schemas-microsoft-com:office:smarttags" w:element="PersonName">
        <w:smartTagPr>
          <w:attr w:name="ProductID" w:val="la Corte Costituzionale"/>
        </w:smartTagPr>
        <w:r w:rsidRPr="00D364BE">
          <w:rPr>
            <w:sz w:val="26"/>
            <w:szCs w:val="26"/>
          </w:rPr>
          <w:t>la Corte Costituzionale</w:t>
        </w:r>
      </w:smartTag>
      <w:r w:rsidRPr="00D364BE">
        <w:rPr>
          <w:sz w:val="26"/>
          <w:szCs w:val="26"/>
        </w:rPr>
        <w:t xml:space="preserve">, un consolidato rapporto, </w:t>
      </w:r>
      <w:r w:rsidR="005722CE" w:rsidRPr="00D364BE">
        <w:rPr>
          <w:sz w:val="26"/>
          <w:szCs w:val="26"/>
        </w:rPr>
        <w:t>ancorché</w:t>
      </w:r>
      <w:r w:rsidRPr="00D364BE">
        <w:rPr>
          <w:sz w:val="26"/>
          <w:szCs w:val="26"/>
        </w:rPr>
        <w:t xml:space="preserve"> di fatto, non appare costituzionalmente irrilevante quando si abbia riguardo al rilievo offerto al riconoscimento delle formazioni sociali;</w:t>
      </w:r>
    </w:p>
    <w:p w:rsidR="001D3CAE" w:rsidRPr="00D364BE" w:rsidRDefault="001D3CAE" w:rsidP="008475F9">
      <w:pPr>
        <w:widowControl w:val="0"/>
        <w:spacing w:line="567" w:lineRule="exact"/>
        <w:jc w:val="both"/>
        <w:rPr>
          <w:sz w:val="26"/>
          <w:szCs w:val="26"/>
        </w:rPr>
      </w:pPr>
    </w:p>
    <w:p w:rsidR="002500B9" w:rsidRPr="00D364BE" w:rsidRDefault="002500B9" w:rsidP="008475F9">
      <w:pPr>
        <w:widowControl w:val="0"/>
        <w:spacing w:line="567" w:lineRule="exact"/>
        <w:jc w:val="both"/>
        <w:rPr>
          <w:i/>
          <w:sz w:val="26"/>
          <w:szCs w:val="26"/>
        </w:rPr>
      </w:pPr>
      <w:r w:rsidRPr="00D364BE">
        <w:rPr>
          <w:sz w:val="26"/>
          <w:szCs w:val="26"/>
        </w:rPr>
        <w:t xml:space="preserve">RILEVATO CHE – </w:t>
      </w:r>
      <w:smartTag w:uri="urn:schemas-microsoft-com:office:smarttags" w:element="PersonName">
        <w:smartTagPr>
          <w:attr w:name="ProductID" w:val="la Corte Costituzionale"/>
        </w:smartTagPr>
        <w:r w:rsidRPr="00D364BE">
          <w:rPr>
            <w:sz w:val="26"/>
            <w:szCs w:val="26"/>
          </w:rPr>
          <w:t>La Corte Costituzionale</w:t>
        </w:r>
      </w:smartTag>
      <w:r w:rsidRPr="00D364BE">
        <w:rPr>
          <w:sz w:val="26"/>
          <w:szCs w:val="26"/>
        </w:rPr>
        <w:t>, con la sentenza n.</w:t>
      </w:r>
      <w:r w:rsidR="003D4AAE" w:rsidRPr="00D364BE">
        <w:rPr>
          <w:sz w:val="26"/>
          <w:szCs w:val="26"/>
        </w:rPr>
        <w:t xml:space="preserve"> </w:t>
      </w:r>
      <w:r w:rsidRPr="00D364BE">
        <w:rPr>
          <w:sz w:val="26"/>
          <w:szCs w:val="26"/>
        </w:rPr>
        <w:t xml:space="preserve">138 del </w:t>
      </w:r>
      <w:smartTag w:uri="urn:schemas-microsoft-com:office:smarttags" w:element="metricconverter">
        <w:smartTagPr>
          <w:attr w:name="ProductID" w:val="2010, ha"/>
        </w:smartTagPr>
        <w:r w:rsidRPr="00D364BE">
          <w:rPr>
            <w:sz w:val="26"/>
            <w:szCs w:val="26"/>
          </w:rPr>
          <w:t>2010, ha</w:t>
        </w:r>
      </w:smartTag>
      <w:r w:rsidRPr="00D364BE">
        <w:rPr>
          <w:sz w:val="26"/>
          <w:szCs w:val="26"/>
        </w:rPr>
        <w:t xml:space="preserve"> riconosciuto tale fondamento costituzionale stabilendo che </w:t>
      </w:r>
      <w:r w:rsidRPr="00D364BE">
        <w:rPr>
          <w:i/>
          <w:sz w:val="26"/>
          <w:szCs w:val="26"/>
        </w:rPr>
        <w:t>“per formazione sociale deve intendersi ogni forma di comunità, semplice o complessa, idonea a consentire e favorire il libero sviluppo della persona nella vita di relazione, nel contesto di una valorizzazione del modello pluralistico”;</w:t>
      </w:r>
    </w:p>
    <w:p w:rsidR="001D3CAE" w:rsidRPr="00D364BE" w:rsidRDefault="001D3CAE" w:rsidP="008475F9">
      <w:pPr>
        <w:widowControl w:val="0"/>
        <w:spacing w:line="567" w:lineRule="exact"/>
        <w:jc w:val="both"/>
        <w:rPr>
          <w:i/>
          <w:sz w:val="26"/>
          <w:szCs w:val="26"/>
        </w:rPr>
      </w:pPr>
    </w:p>
    <w:p w:rsidR="002500B9" w:rsidRPr="00D364BE" w:rsidRDefault="002500B9" w:rsidP="008475F9">
      <w:pPr>
        <w:widowControl w:val="0"/>
        <w:spacing w:line="567" w:lineRule="exact"/>
        <w:jc w:val="both"/>
        <w:rPr>
          <w:i/>
          <w:sz w:val="26"/>
          <w:szCs w:val="26"/>
        </w:rPr>
      </w:pPr>
      <w:r w:rsidRPr="00D364BE">
        <w:rPr>
          <w:sz w:val="26"/>
          <w:szCs w:val="26"/>
        </w:rPr>
        <w:t>CHE – Con la stessa sentenza n.</w:t>
      </w:r>
      <w:r w:rsidR="003D4AAE" w:rsidRPr="00D364BE">
        <w:rPr>
          <w:sz w:val="26"/>
          <w:szCs w:val="26"/>
        </w:rPr>
        <w:t xml:space="preserve"> </w:t>
      </w:r>
      <w:r w:rsidRPr="00D364BE">
        <w:rPr>
          <w:sz w:val="26"/>
          <w:szCs w:val="26"/>
        </w:rPr>
        <w:t xml:space="preserve">138 del 2010 </w:t>
      </w:r>
      <w:smartTag w:uri="urn:schemas-microsoft-com:office:smarttags" w:element="PersonName">
        <w:smartTagPr>
          <w:attr w:name="ProductID" w:val="la Corte Costituzionale"/>
        </w:smartTagPr>
        <w:r w:rsidRPr="00D364BE">
          <w:rPr>
            <w:sz w:val="26"/>
            <w:szCs w:val="26"/>
          </w:rPr>
          <w:t>la Corte Costituzionale</w:t>
        </w:r>
      </w:smartTag>
      <w:r w:rsidRPr="00D364BE">
        <w:rPr>
          <w:sz w:val="26"/>
          <w:szCs w:val="26"/>
        </w:rPr>
        <w:t xml:space="preserve"> ha altresì precisato che nella richiamata nozione di formazione sociale </w:t>
      </w:r>
      <w:r w:rsidRPr="00D364BE">
        <w:rPr>
          <w:i/>
          <w:sz w:val="26"/>
          <w:szCs w:val="26"/>
        </w:rPr>
        <w:t>“è da annoverare anche l’unione omosessuale, intesa come stabile convivenza tra due persone dello stesso sesso, cui spetta il diritto fondamentale di vivere liberamente una condizione di coppia, ottenendone – nei tempi, nei modi e nei limiti stabiliti dalla legge – il riconoscimento giuridico con i connessi diritti e doveri”;</w:t>
      </w:r>
    </w:p>
    <w:p w:rsidR="001D3CAE" w:rsidRPr="00D364BE" w:rsidRDefault="001D3CAE" w:rsidP="008475F9">
      <w:pPr>
        <w:widowControl w:val="0"/>
        <w:spacing w:line="567" w:lineRule="exact"/>
        <w:jc w:val="both"/>
        <w:rPr>
          <w:i/>
          <w:sz w:val="26"/>
          <w:szCs w:val="26"/>
        </w:rPr>
      </w:pPr>
    </w:p>
    <w:p w:rsidR="002500B9" w:rsidRPr="00D364BE" w:rsidRDefault="00FD7A9B" w:rsidP="008475F9">
      <w:pPr>
        <w:widowControl w:val="0"/>
        <w:spacing w:line="567" w:lineRule="exact"/>
        <w:jc w:val="both"/>
        <w:rPr>
          <w:sz w:val="26"/>
          <w:szCs w:val="26"/>
        </w:rPr>
      </w:pPr>
      <w:r w:rsidRPr="00D364BE">
        <w:rPr>
          <w:sz w:val="26"/>
          <w:szCs w:val="26"/>
        </w:rPr>
        <w:t>CONSIDERATO C</w:t>
      </w:r>
      <w:r w:rsidR="00F92B43" w:rsidRPr="00D364BE">
        <w:rPr>
          <w:sz w:val="26"/>
          <w:szCs w:val="26"/>
        </w:rPr>
        <w:t xml:space="preserve">HE – </w:t>
      </w:r>
      <w:smartTag w:uri="urn:schemas-microsoft-com:office:smarttags" w:element="PersonName">
        <w:smartTagPr>
          <w:attr w:name="ProductID" w:val="La Corte"/>
        </w:smartTagPr>
        <w:r w:rsidR="00F92B43" w:rsidRPr="00D364BE">
          <w:rPr>
            <w:sz w:val="26"/>
            <w:szCs w:val="26"/>
          </w:rPr>
          <w:t>La Corte</w:t>
        </w:r>
      </w:smartTag>
      <w:r w:rsidR="00F92B43" w:rsidRPr="00D364BE">
        <w:rPr>
          <w:sz w:val="26"/>
          <w:szCs w:val="26"/>
        </w:rPr>
        <w:t xml:space="preserve"> di Cassazione, I S</w:t>
      </w:r>
      <w:r w:rsidRPr="00D364BE">
        <w:rPr>
          <w:sz w:val="26"/>
          <w:szCs w:val="26"/>
        </w:rPr>
        <w:t>ezione civile, con la sentenza n.</w:t>
      </w:r>
      <w:r w:rsidR="003D4AAE" w:rsidRPr="00D364BE">
        <w:rPr>
          <w:sz w:val="26"/>
          <w:szCs w:val="26"/>
        </w:rPr>
        <w:t xml:space="preserve"> </w:t>
      </w:r>
      <w:r w:rsidRPr="00D364BE">
        <w:rPr>
          <w:sz w:val="26"/>
          <w:szCs w:val="26"/>
        </w:rPr>
        <w:t xml:space="preserve">4184 del 15/03/2012, ha affermato, proprio sulla scorta, in particolare, dell’art. 2 Cost., che i conviventi in stabile relazione di fatto (si trattava in quel caso di una coppia omosessuale) sono titolari del diritto alla “vita familiare”, del diritto inviolabile di vivere liberamente la </w:t>
      </w:r>
      <w:r w:rsidRPr="00D364BE">
        <w:rPr>
          <w:sz w:val="26"/>
          <w:szCs w:val="26"/>
        </w:rPr>
        <w:lastRenderedPageBreak/>
        <w:t>loro condizione di coppia e, in specifiche situazioni, del diritto al trattamento omogeneo a quello assicurato dalla legge alla coppia coniugata, che possono far valere dinanzi all’autorità giurisdizionale;</w:t>
      </w:r>
    </w:p>
    <w:p w:rsidR="001D3CAE" w:rsidRPr="00D364BE" w:rsidRDefault="001D3CAE" w:rsidP="008475F9">
      <w:pPr>
        <w:widowControl w:val="0"/>
        <w:spacing w:line="567" w:lineRule="exact"/>
        <w:jc w:val="both"/>
        <w:rPr>
          <w:sz w:val="26"/>
          <w:szCs w:val="26"/>
        </w:rPr>
      </w:pPr>
    </w:p>
    <w:p w:rsidR="00FD7A9B" w:rsidRPr="00D364BE" w:rsidRDefault="00FD7A9B" w:rsidP="008475F9">
      <w:pPr>
        <w:widowControl w:val="0"/>
        <w:spacing w:line="567" w:lineRule="exact"/>
        <w:jc w:val="both"/>
        <w:rPr>
          <w:sz w:val="26"/>
          <w:szCs w:val="26"/>
        </w:rPr>
      </w:pPr>
      <w:r w:rsidRPr="00D364BE">
        <w:rPr>
          <w:sz w:val="26"/>
          <w:szCs w:val="26"/>
        </w:rPr>
        <w:t>PRENDENDO ATTO CHE – La stabile relazione di fatto tra due persone caratterizzata da coabitazione, indipendentemente dal genere degli interessati, costituisce “vita familiare” protetta dall’art. 8 della Convenzione Europea per la salvaguardia dei diritti e delle libertà fondamentali (CEDU), firmata a Roma il 4/11/1950, entrata in vigore sul piano internazionale il 3/09/1953, ratificata e resa esecutiva in Italia con  la legge n.</w:t>
      </w:r>
      <w:r w:rsidR="00793431" w:rsidRPr="00D364BE">
        <w:rPr>
          <w:sz w:val="26"/>
          <w:szCs w:val="26"/>
        </w:rPr>
        <w:t xml:space="preserve"> </w:t>
      </w:r>
      <w:r w:rsidRPr="00D364BE">
        <w:rPr>
          <w:sz w:val="26"/>
          <w:szCs w:val="26"/>
        </w:rPr>
        <w:t xml:space="preserve">848 del 4/08/1955, come confermato dalla Corte Europea dei diritti umani nella sentenza del 24/06/2010 sul caso </w:t>
      </w:r>
      <w:proofErr w:type="spellStart"/>
      <w:r w:rsidRPr="00D364BE">
        <w:rPr>
          <w:sz w:val="26"/>
          <w:szCs w:val="26"/>
        </w:rPr>
        <w:t>Schalk</w:t>
      </w:r>
      <w:proofErr w:type="spellEnd"/>
      <w:r w:rsidRPr="00D364BE">
        <w:rPr>
          <w:sz w:val="26"/>
          <w:szCs w:val="26"/>
        </w:rPr>
        <w:t xml:space="preserve"> e </w:t>
      </w:r>
      <w:proofErr w:type="spellStart"/>
      <w:r w:rsidRPr="00D364BE">
        <w:rPr>
          <w:sz w:val="26"/>
          <w:szCs w:val="26"/>
        </w:rPr>
        <w:t>Kopf</w:t>
      </w:r>
      <w:proofErr w:type="spellEnd"/>
      <w:r w:rsidRPr="00D364BE">
        <w:rPr>
          <w:sz w:val="26"/>
          <w:szCs w:val="26"/>
        </w:rPr>
        <w:t xml:space="preserve"> c. Austria (ric. 30141/04);</w:t>
      </w:r>
    </w:p>
    <w:p w:rsidR="00C77D2E" w:rsidRPr="00D364BE" w:rsidRDefault="00C77D2E" w:rsidP="008475F9">
      <w:pPr>
        <w:widowControl w:val="0"/>
        <w:spacing w:line="567" w:lineRule="exact"/>
        <w:jc w:val="both"/>
        <w:rPr>
          <w:sz w:val="26"/>
          <w:szCs w:val="26"/>
        </w:rPr>
      </w:pPr>
    </w:p>
    <w:p w:rsidR="00FD7A9B" w:rsidRPr="00D364BE" w:rsidRDefault="00FD7A9B" w:rsidP="008475F9">
      <w:pPr>
        <w:widowControl w:val="0"/>
        <w:spacing w:line="567" w:lineRule="exact"/>
        <w:jc w:val="both"/>
        <w:rPr>
          <w:sz w:val="26"/>
          <w:szCs w:val="26"/>
        </w:rPr>
      </w:pPr>
      <w:r w:rsidRPr="00D364BE">
        <w:rPr>
          <w:sz w:val="26"/>
          <w:szCs w:val="26"/>
        </w:rPr>
        <w:t>VISTA – La direttiva 2004/38 del Parlamento Europeo e del Consiglio relativa al diritto dei cittadini dell’Unione e dei loro familiari di circolare e di soggiornare liberamente nel territorio degli Stati membri e la direttiva 2003/86/CE del Consiglio relativa al diritto di ricongiungimento familiare impongono di dare completa attuazione a tali diritti;</w:t>
      </w:r>
    </w:p>
    <w:p w:rsidR="00C77D2E" w:rsidRPr="00D364BE" w:rsidRDefault="00C77D2E" w:rsidP="008475F9">
      <w:pPr>
        <w:widowControl w:val="0"/>
        <w:spacing w:line="567" w:lineRule="exact"/>
        <w:jc w:val="both"/>
        <w:rPr>
          <w:sz w:val="26"/>
          <w:szCs w:val="26"/>
        </w:rPr>
      </w:pPr>
    </w:p>
    <w:p w:rsidR="00FD7A9B" w:rsidRPr="00D364BE" w:rsidRDefault="001D3CAE" w:rsidP="008475F9">
      <w:pPr>
        <w:widowControl w:val="0"/>
        <w:spacing w:line="567" w:lineRule="exact"/>
        <w:jc w:val="both"/>
        <w:rPr>
          <w:sz w:val="26"/>
          <w:szCs w:val="26"/>
        </w:rPr>
      </w:pPr>
      <w:r w:rsidRPr="00D364BE">
        <w:rPr>
          <w:sz w:val="26"/>
          <w:szCs w:val="26"/>
        </w:rPr>
        <w:t>E PER</w:t>
      </w:r>
      <w:r w:rsidR="00FD7A9B" w:rsidRPr="00D364BE">
        <w:rPr>
          <w:sz w:val="26"/>
          <w:szCs w:val="26"/>
        </w:rPr>
        <w:t xml:space="preserve">TANTO – </w:t>
      </w:r>
      <w:r w:rsidR="00793431" w:rsidRPr="00D364BE">
        <w:rPr>
          <w:sz w:val="26"/>
          <w:szCs w:val="26"/>
        </w:rPr>
        <w:t>ancorché</w:t>
      </w:r>
      <w:r w:rsidR="00FD7A9B" w:rsidRPr="00D364BE">
        <w:rPr>
          <w:sz w:val="26"/>
          <w:szCs w:val="26"/>
        </w:rPr>
        <w:t xml:space="preserve"> la creazione di un nuovo </w:t>
      </w:r>
      <w:r w:rsidR="00C77D2E" w:rsidRPr="00D364BE">
        <w:rPr>
          <w:sz w:val="26"/>
          <w:szCs w:val="26"/>
        </w:rPr>
        <w:t>status personale non può certamente che spettare al legislatore statale, come riconosciuto nella richiamata sentenza n.</w:t>
      </w:r>
      <w:r w:rsidR="00793431" w:rsidRPr="00D364BE">
        <w:rPr>
          <w:sz w:val="26"/>
          <w:szCs w:val="26"/>
        </w:rPr>
        <w:t xml:space="preserve"> </w:t>
      </w:r>
      <w:r w:rsidR="00C77D2E" w:rsidRPr="00D364BE">
        <w:rPr>
          <w:sz w:val="26"/>
          <w:szCs w:val="26"/>
        </w:rPr>
        <w:t>138 del 2010 della Corte Costituzionale, deve riconoscersi al Comune, in proposito, la possibilità di operare in materia nell’ambito dei principi e delle regole fissate dalla legislazione statale e per le finalità ad esso assegnate dall’ordinamento;</w:t>
      </w:r>
    </w:p>
    <w:p w:rsidR="00C77D2E" w:rsidRPr="00D364BE" w:rsidRDefault="00C77D2E" w:rsidP="008475F9">
      <w:pPr>
        <w:widowControl w:val="0"/>
        <w:spacing w:line="567" w:lineRule="exact"/>
        <w:jc w:val="both"/>
        <w:rPr>
          <w:sz w:val="26"/>
          <w:szCs w:val="26"/>
        </w:rPr>
      </w:pPr>
    </w:p>
    <w:p w:rsidR="00C77D2E" w:rsidRPr="00D364BE" w:rsidRDefault="00C77D2E" w:rsidP="008475F9">
      <w:pPr>
        <w:widowControl w:val="0"/>
        <w:spacing w:line="567" w:lineRule="exact"/>
        <w:jc w:val="both"/>
        <w:rPr>
          <w:sz w:val="26"/>
          <w:szCs w:val="26"/>
        </w:rPr>
      </w:pPr>
      <w:r w:rsidRPr="00D364BE">
        <w:rPr>
          <w:sz w:val="26"/>
          <w:szCs w:val="26"/>
        </w:rPr>
        <w:t>ATTESO CHE – Il Comune riveste un ruolo centrale in tale settore, per i poteri attribuiti dal</w:t>
      </w:r>
      <w:r w:rsidR="00642063" w:rsidRPr="00D364BE">
        <w:rPr>
          <w:sz w:val="26"/>
          <w:szCs w:val="26"/>
        </w:rPr>
        <w:t xml:space="preserve"> </w:t>
      </w:r>
      <w:proofErr w:type="spellStart"/>
      <w:r w:rsidR="00642063" w:rsidRPr="00D364BE">
        <w:rPr>
          <w:sz w:val="26"/>
          <w:szCs w:val="26"/>
        </w:rPr>
        <w:t>T.U.E.L.</w:t>
      </w:r>
      <w:proofErr w:type="spellEnd"/>
      <w:r w:rsidRPr="00D364BE">
        <w:rPr>
          <w:sz w:val="26"/>
          <w:szCs w:val="26"/>
        </w:rPr>
        <w:t xml:space="preserve"> </w:t>
      </w:r>
      <w:r w:rsidR="003D6019" w:rsidRPr="00D364BE">
        <w:rPr>
          <w:sz w:val="26"/>
          <w:szCs w:val="26"/>
        </w:rPr>
        <w:t>d.lgs.</w:t>
      </w:r>
      <w:r w:rsidRPr="00D364BE">
        <w:rPr>
          <w:sz w:val="26"/>
          <w:szCs w:val="26"/>
        </w:rPr>
        <w:t xml:space="preserve"> n. 267/2000;</w:t>
      </w:r>
    </w:p>
    <w:p w:rsidR="00C77D2E" w:rsidRPr="00D364BE" w:rsidRDefault="00C77D2E" w:rsidP="008475F9">
      <w:pPr>
        <w:widowControl w:val="0"/>
        <w:spacing w:line="567" w:lineRule="exact"/>
        <w:jc w:val="both"/>
        <w:rPr>
          <w:sz w:val="26"/>
          <w:szCs w:val="26"/>
        </w:rPr>
      </w:pPr>
      <w:r w:rsidRPr="00D364BE">
        <w:rPr>
          <w:sz w:val="26"/>
          <w:szCs w:val="26"/>
        </w:rPr>
        <w:lastRenderedPageBreak/>
        <w:t>Il Comune, quindi, può operare nell’ambito delle proprie competenze per promuovere pari opportunità per le unioni di fatto, favorendone l’integrazione sociale e prevenendo forme di disagio, con particolare riferimento alle persone anziane, nonché forme di discriminazione fon</w:t>
      </w:r>
      <w:r w:rsidR="00105761" w:rsidRPr="00D364BE">
        <w:rPr>
          <w:sz w:val="26"/>
          <w:szCs w:val="26"/>
        </w:rPr>
        <w:t>date sull’orientamento sessuale.</w:t>
      </w:r>
    </w:p>
    <w:p w:rsidR="00105761" w:rsidRPr="00D364BE" w:rsidRDefault="00105761" w:rsidP="008475F9">
      <w:pPr>
        <w:widowControl w:val="0"/>
        <w:spacing w:line="567" w:lineRule="exact"/>
        <w:jc w:val="both"/>
        <w:rPr>
          <w:sz w:val="26"/>
          <w:szCs w:val="26"/>
        </w:rPr>
      </w:pPr>
      <w:r w:rsidRPr="00D364BE">
        <w:rPr>
          <w:sz w:val="26"/>
          <w:szCs w:val="26"/>
        </w:rPr>
        <w:t xml:space="preserve">Per raggiungere questo obiettivo è necessario stabilire forme di identificazione delle </w:t>
      </w:r>
      <w:r w:rsidRPr="00D364BE">
        <w:rPr>
          <w:i/>
          <w:sz w:val="26"/>
          <w:szCs w:val="26"/>
        </w:rPr>
        <w:t>unioni civili</w:t>
      </w:r>
      <w:r w:rsidRPr="00D364BE">
        <w:rPr>
          <w:sz w:val="26"/>
          <w:szCs w:val="26"/>
        </w:rPr>
        <w:t xml:space="preserve"> basate su vincolo affettivo, così come la stessa legge anagrafica e il relativo regolamento attuativo prevedono;</w:t>
      </w:r>
    </w:p>
    <w:p w:rsidR="00105761" w:rsidRPr="00D364BE" w:rsidRDefault="00105761" w:rsidP="008475F9">
      <w:pPr>
        <w:widowControl w:val="0"/>
        <w:spacing w:line="567" w:lineRule="exact"/>
        <w:jc w:val="both"/>
        <w:rPr>
          <w:sz w:val="26"/>
          <w:szCs w:val="26"/>
        </w:rPr>
      </w:pPr>
      <w:r w:rsidRPr="00D364BE">
        <w:rPr>
          <w:sz w:val="26"/>
          <w:szCs w:val="26"/>
        </w:rPr>
        <w:t>RITENUTA PERTANTO – L’opportunità per i motivi innanzi espressi di organizzare il rilascio da parte dell’anagrafe di una attestazione di costituzione di famiglia anagrafica basata su un “vincolo di natura affettiva” ai s</w:t>
      </w:r>
      <w:r w:rsidR="003D6019" w:rsidRPr="00D364BE">
        <w:rPr>
          <w:sz w:val="26"/>
          <w:szCs w:val="26"/>
        </w:rPr>
        <w:t>e</w:t>
      </w:r>
      <w:r w:rsidRPr="00D364BE">
        <w:rPr>
          <w:sz w:val="26"/>
          <w:szCs w:val="26"/>
        </w:rPr>
        <w:t>nsi dell’art. 4 del D.P.R. n.223/1989 (Regolamento anagrafico);</w:t>
      </w:r>
    </w:p>
    <w:p w:rsidR="00105761" w:rsidRPr="00D364BE" w:rsidRDefault="00105761" w:rsidP="008475F9">
      <w:pPr>
        <w:widowControl w:val="0"/>
        <w:spacing w:line="567" w:lineRule="exact"/>
        <w:jc w:val="both"/>
        <w:rPr>
          <w:sz w:val="26"/>
          <w:szCs w:val="26"/>
        </w:rPr>
      </w:pPr>
    </w:p>
    <w:p w:rsidR="00105761" w:rsidRPr="00D364BE" w:rsidRDefault="00105761" w:rsidP="008475F9">
      <w:pPr>
        <w:widowControl w:val="0"/>
        <w:spacing w:line="567" w:lineRule="exact"/>
        <w:jc w:val="both"/>
        <w:rPr>
          <w:sz w:val="26"/>
          <w:szCs w:val="26"/>
        </w:rPr>
      </w:pPr>
      <w:r w:rsidRPr="00D364BE">
        <w:rPr>
          <w:sz w:val="26"/>
          <w:szCs w:val="26"/>
        </w:rPr>
        <w:t>VISTI – Gli artt. n.</w:t>
      </w:r>
      <w:r w:rsidR="00642063" w:rsidRPr="00D364BE">
        <w:rPr>
          <w:sz w:val="26"/>
          <w:szCs w:val="26"/>
        </w:rPr>
        <w:t xml:space="preserve"> 2, 29, 117, primo comma, della Costituzione della Repubblica Italiana;</w:t>
      </w:r>
    </w:p>
    <w:p w:rsidR="00105761" w:rsidRPr="00D364BE" w:rsidRDefault="00105761" w:rsidP="00852DCE">
      <w:pPr>
        <w:widowControl w:val="0"/>
        <w:spacing w:line="567" w:lineRule="exact"/>
        <w:ind w:firstLine="708"/>
        <w:jc w:val="both"/>
        <w:rPr>
          <w:sz w:val="26"/>
          <w:szCs w:val="26"/>
        </w:rPr>
      </w:pPr>
      <w:r w:rsidRPr="00D364BE">
        <w:rPr>
          <w:sz w:val="26"/>
          <w:szCs w:val="26"/>
        </w:rPr>
        <w:t xml:space="preserve"> La sentenza n.</w:t>
      </w:r>
      <w:r w:rsidR="00847C1A" w:rsidRPr="00D364BE">
        <w:rPr>
          <w:sz w:val="26"/>
          <w:szCs w:val="26"/>
        </w:rPr>
        <w:t xml:space="preserve"> </w:t>
      </w:r>
      <w:r w:rsidRPr="00D364BE">
        <w:rPr>
          <w:sz w:val="26"/>
          <w:szCs w:val="26"/>
        </w:rPr>
        <w:t>138 del 2010 della Corte Costituzionale;</w:t>
      </w:r>
    </w:p>
    <w:p w:rsidR="00852DCE" w:rsidRPr="00D364BE" w:rsidRDefault="00852DCE" w:rsidP="00852DCE">
      <w:pPr>
        <w:widowControl w:val="0"/>
        <w:spacing w:line="567" w:lineRule="exact"/>
        <w:ind w:left="708"/>
        <w:jc w:val="both"/>
        <w:rPr>
          <w:sz w:val="26"/>
          <w:szCs w:val="26"/>
        </w:rPr>
      </w:pPr>
      <w:r w:rsidRPr="00D364BE">
        <w:rPr>
          <w:sz w:val="26"/>
          <w:szCs w:val="26"/>
        </w:rPr>
        <w:t>La sentenza n.</w:t>
      </w:r>
      <w:r w:rsidR="00847C1A" w:rsidRPr="00D364BE">
        <w:rPr>
          <w:sz w:val="26"/>
          <w:szCs w:val="26"/>
        </w:rPr>
        <w:t xml:space="preserve"> </w:t>
      </w:r>
      <w:r w:rsidRPr="00D364BE">
        <w:rPr>
          <w:sz w:val="26"/>
          <w:szCs w:val="26"/>
        </w:rPr>
        <w:t>4184 del 15/03/2012 della Corte di Cassazione, I Sezione civile;</w:t>
      </w:r>
    </w:p>
    <w:p w:rsidR="00852DCE" w:rsidRPr="00D364BE" w:rsidRDefault="00852DCE" w:rsidP="00852DCE">
      <w:pPr>
        <w:widowControl w:val="0"/>
        <w:spacing w:line="567" w:lineRule="exact"/>
        <w:ind w:left="708"/>
        <w:jc w:val="both"/>
        <w:rPr>
          <w:sz w:val="26"/>
          <w:szCs w:val="26"/>
        </w:rPr>
      </w:pPr>
      <w:r w:rsidRPr="00D364BE">
        <w:rPr>
          <w:sz w:val="26"/>
          <w:szCs w:val="26"/>
        </w:rPr>
        <w:t>L’art. n.</w:t>
      </w:r>
      <w:r w:rsidR="00847C1A" w:rsidRPr="00D364BE">
        <w:rPr>
          <w:sz w:val="26"/>
          <w:szCs w:val="26"/>
        </w:rPr>
        <w:t xml:space="preserve"> </w:t>
      </w:r>
      <w:r w:rsidRPr="00D364BE">
        <w:rPr>
          <w:sz w:val="26"/>
          <w:szCs w:val="26"/>
        </w:rPr>
        <w:t xml:space="preserve">8 CEDU e la sentenza del 24/06/2010 sul caso </w:t>
      </w:r>
      <w:proofErr w:type="spellStart"/>
      <w:r w:rsidRPr="00D364BE">
        <w:rPr>
          <w:sz w:val="26"/>
          <w:szCs w:val="26"/>
        </w:rPr>
        <w:t>Schalk</w:t>
      </w:r>
      <w:proofErr w:type="spellEnd"/>
      <w:r w:rsidRPr="00D364BE">
        <w:rPr>
          <w:sz w:val="26"/>
          <w:szCs w:val="26"/>
        </w:rPr>
        <w:t xml:space="preserve"> e </w:t>
      </w:r>
      <w:proofErr w:type="spellStart"/>
      <w:r w:rsidRPr="00D364BE">
        <w:rPr>
          <w:sz w:val="26"/>
          <w:szCs w:val="26"/>
        </w:rPr>
        <w:t>Kopf</w:t>
      </w:r>
      <w:proofErr w:type="spellEnd"/>
      <w:r w:rsidRPr="00D364BE">
        <w:rPr>
          <w:sz w:val="26"/>
          <w:szCs w:val="26"/>
        </w:rPr>
        <w:t xml:space="preserve"> c. Austria (ric. 30141/04) della Corte Europea dei diritti umani;</w:t>
      </w:r>
    </w:p>
    <w:p w:rsidR="00852DCE" w:rsidRPr="00D364BE" w:rsidRDefault="00852DCE" w:rsidP="00852DCE">
      <w:pPr>
        <w:widowControl w:val="0"/>
        <w:spacing w:line="567" w:lineRule="exact"/>
        <w:ind w:left="708"/>
        <w:jc w:val="both"/>
        <w:rPr>
          <w:sz w:val="26"/>
          <w:szCs w:val="26"/>
        </w:rPr>
      </w:pPr>
      <w:r w:rsidRPr="00D364BE">
        <w:rPr>
          <w:sz w:val="26"/>
          <w:szCs w:val="26"/>
        </w:rPr>
        <w:t>La direttiva 2004/38/CE del Parlamento europeo e del Consiglio relativa al diritto dei cittadini dell’Unione e dei loro familiari di circolare e di soggiornare liberamente nel territorio degli Stati membri;</w:t>
      </w:r>
    </w:p>
    <w:p w:rsidR="00852DCE" w:rsidRPr="00D364BE" w:rsidRDefault="00852DCE" w:rsidP="00852DCE">
      <w:pPr>
        <w:widowControl w:val="0"/>
        <w:spacing w:line="567" w:lineRule="exact"/>
        <w:ind w:left="708"/>
        <w:jc w:val="both"/>
        <w:rPr>
          <w:sz w:val="26"/>
          <w:szCs w:val="26"/>
        </w:rPr>
      </w:pPr>
      <w:r w:rsidRPr="00D364BE">
        <w:rPr>
          <w:sz w:val="26"/>
          <w:szCs w:val="26"/>
        </w:rPr>
        <w:t>La direttiva 2003/86/CE del Consiglio relativa al diritto al ricongiungimento familiare;</w:t>
      </w:r>
    </w:p>
    <w:p w:rsidR="00852DCE" w:rsidRPr="00D364BE" w:rsidRDefault="00852DCE" w:rsidP="00852DCE">
      <w:pPr>
        <w:widowControl w:val="0"/>
        <w:spacing w:line="567" w:lineRule="exact"/>
        <w:ind w:left="708"/>
        <w:jc w:val="both"/>
        <w:rPr>
          <w:sz w:val="26"/>
          <w:szCs w:val="26"/>
        </w:rPr>
      </w:pPr>
      <w:r w:rsidRPr="00D364BE">
        <w:rPr>
          <w:sz w:val="26"/>
          <w:szCs w:val="26"/>
        </w:rPr>
        <w:t xml:space="preserve">L’art. 4 del </w:t>
      </w:r>
      <w:r w:rsidR="00DC4491" w:rsidRPr="00D364BE">
        <w:rPr>
          <w:sz w:val="26"/>
          <w:szCs w:val="26"/>
        </w:rPr>
        <w:t xml:space="preserve">d. </w:t>
      </w:r>
      <w:r w:rsidRPr="00D364BE">
        <w:rPr>
          <w:sz w:val="26"/>
          <w:szCs w:val="26"/>
        </w:rPr>
        <w:t>R. n.</w:t>
      </w:r>
      <w:r w:rsidR="00847C1A" w:rsidRPr="00D364BE">
        <w:rPr>
          <w:sz w:val="26"/>
          <w:szCs w:val="26"/>
        </w:rPr>
        <w:t xml:space="preserve"> </w:t>
      </w:r>
      <w:r w:rsidRPr="00D364BE">
        <w:rPr>
          <w:sz w:val="26"/>
          <w:szCs w:val="26"/>
        </w:rPr>
        <w:t>223 del 1989;</w:t>
      </w:r>
    </w:p>
    <w:p w:rsidR="00852DCE" w:rsidRPr="00D364BE" w:rsidRDefault="00852DCE" w:rsidP="00852DCE">
      <w:pPr>
        <w:widowControl w:val="0"/>
        <w:spacing w:line="567" w:lineRule="exact"/>
        <w:ind w:left="708"/>
        <w:jc w:val="both"/>
        <w:rPr>
          <w:sz w:val="26"/>
          <w:szCs w:val="26"/>
        </w:rPr>
      </w:pPr>
      <w:r w:rsidRPr="00D364BE">
        <w:rPr>
          <w:sz w:val="26"/>
          <w:szCs w:val="26"/>
        </w:rPr>
        <w:t xml:space="preserve">Il </w:t>
      </w:r>
      <w:r w:rsidR="00847C1A" w:rsidRPr="00D364BE">
        <w:rPr>
          <w:sz w:val="26"/>
          <w:szCs w:val="26"/>
        </w:rPr>
        <w:t>d.lgs.</w:t>
      </w:r>
      <w:r w:rsidRPr="00D364BE">
        <w:rPr>
          <w:sz w:val="26"/>
          <w:szCs w:val="26"/>
        </w:rPr>
        <w:t xml:space="preserve"> n. 267/2000, con particolare riferimento agli artt. n. 42 e 43;</w:t>
      </w:r>
    </w:p>
    <w:p w:rsidR="00D364BE" w:rsidRPr="00D364BE" w:rsidRDefault="00D364BE" w:rsidP="00852DCE">
      <w:pPr>
        <w:widowControl w:val="0"/>
        <w:spacing w:line="567" w:lineRule="exact"/>
        <w:ind w:left="708"/>
        <w:jc w:val="both"/>
        <w:rPr>
          <w:sz w:val="26"/>
          <w:szCs w:val="26"/>
        </w:rPr>
      </w:pPr>
    </w:p>
    <w:p w:rsidR="00D364BE" w:rsidRPr="00D364BE" w:rsidRDefault="00D364BE" w:rsidP="00852DCE">
      <w:pPr>
        <w:widowControl w:val="0"/>
        <w:spacing w:line="567" w:lineRule="exact"/>
        <w:ind w:left="708"/>
        <w:jc w:val="both"/>
        <w:rPr>
          <w:sz w:val="26"/>
          <w:szCs w:val="26"/>
        </w:rPr>
      </w:pPr>
    </w:p>
    <w:p w:rsidR="00847C1A" w:rsidRPr="00D364BE" w:rsidRDefault="00847C1A" w:rsidP="00642063">
      <w:pPr>
        <w:widowControl w:val="0"/>
        <w:spacing w:line="567" w:lineRule="exact"/>
        <w:ind w:left="708"/>
        <w:jc w:val="center"/>
        <w:rPr>
          <w:b/>
          <w:i/>
          <w:sz w:val="26"/>
          <w:szCs w:val="26"/>
        </w:rPr>
      </w:pPr>
    </w:p>
    <w:p w:rsidR="00642063" w:rsidRPr="00D364BE" w:rsidRDefault="00642063" w:rsidP="00642063">
      <w:pPr>
        <w:widowControl w:val="0"/>
        <w:spacing w:line="567" w:lineRule="exact"/>
        <w:ind w:left="708"/>
        <w:jc w:val="center"/>
        <w:rPr>
          <w:b/>
          <w:i/>
          <w:sz w:val="26"/>
          <w:szCs w:val="26"/>
        </w:rPr>
      </w:pPr>
      <w:r w:rsidRPr="00D364BE">
        <w:rPr>
          <w:b/>
          <w:i/>
          <w:sz w:val="26"/>
          <w:szCs w:val="26"/>
        </w:rPr>
        <w:t>IL CONSIGLIO COMUNALE</w:t>
      </w:r>
      <w:r w:rsidR="002B76AB" w:rsidRPr="00D364BE">
        <w:rPr>
          <w:b/>
          <w:i/>
          <w:sz w:val="26"/>
          <w:szCs w:val="26"/>
        </w:rPr>
        <w:t xml:space="preserve"> </w:t>
      </w:r>
      <w:proofErr w:type="spellStart"/>
      <w:r w:rsidR="002B76AB" w:rsidRPr="00D364BE">
        <w:rPr>
          <w:b/>
          <w:i/>
          <w:sz w:val="26"/>
          <w:szCs w:val="26"/>
        </w:rPr>
        <w:t>DI</w:t>
      </w:r>
      <w:proofErr w:type="spellEnd"/>
      <w:r w:rsidR="002B76AB" w:rsidRPr="00D364BE">
        <w:rPr>
          <w:b/>
          <w:i/>
          <w:sz w:val="26"/>
          <w:szCs w:val="26"/>
        </w:rPr>
        <w:t xml:space="preserve"> MARTINA FRANCA</w:t>
      </w:r>
    </w:p>
    <w:p w:rsidR="00852DCE" w:rsidRPr="00D364BE" w:rsidRDefault="00642063" w:rsidP="00642063">
      <w:pPr>
        <w:widowControl w:val="0"/>
        <w:spacing w:line="567" w:lineRule="exact"/>
        <w:ind w:left="708"/>
        <w:jc w:val="center"/>
        <w:rPr>
          <w:b/>
          <w:i/>
          <w:sz w:val="26"/>
          <w:szCs w:val="26"/>
        </w:rPr>
      </w:pPr>
      <w:r w:rsidRPr="00D364BE">
        <w:rPr>
          <w:b/>
          <w:i/>
          <w:sz w:val="26"/>
          <w:szCs w:val="26"/>
        </w:rPr>
        <w:t xml:space="preserve"> </w:t>
      </w:r>
      <w:r w:rsidR="00852DCE" w:rsidRPr="00D364BE">
        <w:rPr>
          <w:b/>
          <w:i/>
          <w:sz w:val="26"/>
          <w:szCs w:val="26"/>
        </w:rPr>
        <w:t>DELIBERA</w:t>
      </w:r>
    </w:p>
    <w:p w:rsidR="00852DCE" w:rsidRDefault="00852DCE" w:rsidP="00852DCE">
      <w:pPr>
        <w:widowControl w:val="0"/>
        <w:spacing w:line="567" w:lineRule="exact"/>
        <w:ind w:left="708"/>
        <w:jc w:val="both"/>
        <w:rPr>
          <w:b/>
          <w:i/>
          <w:sz w:val="26"/>
          <w:szCs w:val="26"/>
        </w:rPr>
      </w:pPr>
      <w:r w:rsidRPr="00D364BE">
        <w:rPr>
          <w:b/>
          <w:i/>
          <w:sz w:val="26"/>
          <w:szCs w:val="26"/>
        </w:rPr>
        <w:t>Di approvare, per le motivazioni sopra esposte, il “Regolamento per il riconosc</w:t>
      </w:r>
      <w:r w:rsidR="00C574DC" w:rsidRPr="00D364BE">
        <w:rPr>
          <w:b/>
          <w:i/>
          <w:sz w:val="26"/>
          <w:szCs w:val="26"/>
        </w:rPr>
        <w:t>imento delle unioni civili”</w:t>
      </w:r>
      <w:r w:rsidR="00053BD4" w:rsidRPr="00D364BE">
        <w:rPr>
          <w:b/>
          <w:i/>
          <w:sz w:val="26"/>
          <w:szCs w:val="26"/>
        </w:rPr>
        <w:t xml:space="preserve">, </w:t>
      </w:r>
      <w:r w:rsidR="00C574DC" w:rsidRPr="00D364BE">
        <w:rPr>
          <w:b/>
          <w:i/>
          <w:sz w:val="26"/>
          <w:szCs w:val="26"/>
        </w:rPr>
        <w:t>il c</w:t>
      </w:r>
      <w:r w:rsidRPr="00D364BE">
        <w:rPr>
          <w:b/>
          <w:i/>
          <w:sz w:val="26"/>
          <w:szCs w:val="26"/>
        </w:rPr>
        <w:t>ui testo è allegato alla presente deliberazione di cui costituisce parte integrante e sostanziale.</w:t>
      </w:r>
    </w:p>
    <w:p w:rsidR="00D364BE" w:rsidRDefault="00D364BE" w:rsidP="00852DCE">
      <w:pPr>
        <w:widowControl w:val="0"/>
        <w:spacing w:line="567" w:lineRule="exact"/>
        <w:ind w:left="708"/>
        <w:jc w:val="both"/>
        <w:rPr>
          <w:b/>
          <w:i/>
          <w:sz w:val="26"/>
          <w:szCs w:val="26"/>
        </w:rPr>
      </w:pPr>
    </w:p>
    <w:p w:rsidR="00D364BE" w:rsidRPr="00D364BE" w:rsidRDefault="00D364BE" w:rsidP="00852DCE">
      <w:pPr>
        <w:widowControl w:val="0"/>
        <w:spacing w:line="567" w:lineRule="exact"/>
        <w:ind w:left="708"/>
        <w:jc w:val="both"/>
        <w:rPr>
          <w:b/>
          <w:i/>
          <w:sz w:val="26"/>
          <w:szCs w:val="26"/>
        </w:rPr>
      </w:pPr>
    </w:p>
    <w:p w:rsidR="0092191E" w:rsidRDefault="00ED111E" w:rsidP="00847C1A">
      <w:pPr>
        <w:widowControl w:val="0"/>
        <w:spacing w:line="567" w:lineRule="exact"/>
        <w:jc w:val="both"/>
        <w:rPr>
          <w:sz w:val="26"/>
          <w:szCs w:val="26"/>
        </w:rPr>
      </w:pPr>
      <w:r w:rsidRPr="00D364BE">
        <w:rPr>
          <w:sz w:val="26"/>
          <w:szCs w:val="26"/>
        </w:rPr>
        <w:t xml:space="preserve">Martina Franca, </w:t>
      </w:r>
      <w:r w:rsidR="004804F1" w:rsidRPr="00D364BE">
        <w:rPr>
          <w:sz w:val="26"/>
          <w:szCs w:val="26"/>
        </w:rPr>
        <w:t>3 ottobre</w:t>
      </w:r>
      <w:r w:rsidR="00847C1A" w:rsidRPr="00D364BE">
        <w:rPr>
          <w:sz w:val="26"/>
          <w:szCs w:val="26"/>
        </w:rPr>
        <w:t xml:space="preserve"> 2014</w:t>
      </w:r>
    </w:p>
    <w:p w:rsidR="00D364BE" w:rsidRDefault="00D364BE" w:rsidP="00847C1A">
      <w:pPr>
        <w:widowControl w:val="0"/>
        <w:spacing w:line="567" w:lineRule="exact"/>
        <w:jc w:val="both"/>
        <w:rPr>
          <w:sz w:val="26"/>
          <w:szCs w:val="26"/>
        </w:rPr>
      </w:pPr>
    </w:p>
    <w:p w:rsidR="00D364BE" w:rsidRDefault="00D364BE" w:rsidP="00847C1A">
      <w:pPr>
        <w:widowControl w:val="0"/>
        <w:spacing w:line="567" w:lineRule="exact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i/>
          <w:sz w:val="26"/>
          <w:szCs w:val="26"/>
        </w:rPr>
        <w:t>Il Consigliere Comunale</w:t>
      </w:r>
    </w:p>
    <w:p w:rsidR="00D364BE" w:rsidRPr="00D364BE" w:rsidRDefault="00D364BE" w:rsidP="00847C1A">
      <w:pPr>
        <w:widowControl w:val="0"/>
        <w:spacing w:line="567" w:lineRule="exact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</w:rPr>
        <w:tab/>
        <w:t xml:space="preserve">          Dott. Aldo LEGGIERI</w:t>
      </w:r>
    </w:p>
    <w:p w:rsidR="00D364BE" w:rsidRPr="00D364BE" w:rsidRDefault="00D364BE" w:rsidP="00847C1A">
      <w:pPr>
        <w:widowControl w:val="0"/>
        <w:spacing w:line="567" w:lineRule="exact"/>
        <w:jc w:val="both"/>
        <w:rPr>
          <w:sz w:val="26"/>
          <w:szCs w:val="26"/>
        </w:rPr>
      </w:pPr>
    </w:p>
    <w:sectPr w:rsidR="00D364BE" w:rsidRPr="00D364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16F1C"/>
    <w:multiLevelType w:val="hybridMultilevel"/>
    <w:tmpl w:val="5FE68CCA"/>
    <w:lvl w:ilvl="0" w:tplc="B8D69298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3FD627B"/>
    <w:multiLevelType w:val="hybridMultilevel"/>
    <w:tmpl w:val="30302430"/>
    <w:lvl w:ilvl="0" w:tplc="24F2D51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5A606D3"/>
    <w:multiLevelType w:val="hybridMultilevel"/>
    <w:tmpl w:val="7640FC38"/>
    <w:lvl w:ilvl="0" w:tplc="DB4EFE7C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283"/>
  <w:characterSpacingControl w:val="doNotCompress"/>
  <w:compat/>
  <w:rsids>
    <w:rsidRoot w:val="008475F9"/>
    <w:rsid w:val="00053BD4"/>
    <w:rsid w:val="00105761"/>
    <w:rsid w:val="001D3CAE"/>
    <w:rsid w:val="002500B9"/>
    <w:rsid w:val="002B76AB"/>
    <w:rsid w:val="003D4AAE"/>
    <w:rsid w:val="003D6019"/>
    <w:rsid w:val="004804F1"/>
    <w:rsid w:val="00570351"/>
    <w:rsid w:val="005722CE"/>
    <w:rsid w:val="00613880"/>
    <w:rsid w:val="00642063"/>
    <w:rsid w:val="006C4F24"/>
    <w:rsid w:val="00793431"/>
    <w:rsid w:val="008475F9"/>
    <w:rsid w:val="00847C1A"/>
    <w:rsid w:val="00852DCE"/>
    <w:rsid w:val="0092191E"/>
    <w:rsid w:val="00B118B8"/>
    <w:rsid w:val="00C16949"/>
    <w:rsid w:val="00C574DC"/>
    <w:rsid w:val="00C77D2E"/>
    <w:rsid w:val="00D364BE"/>
    <w:rsid w:val="00D96414"/>
    <w:rsid w:val="00DC4491"/>
    <w:rsid w:val="00ED111E"/>
    <w:rsid w:val="00F92B43"/>
    <w:rsid w:val="00FD7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475F9"/>
    <w:rPr>
      <w:rFonts w:eastAsia="Calibri"/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5703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2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Trono</dc:creator>
  <cp:keywords/>
  <dc:description/>
  <cp:lastModifiedBy> </cp:lastModifiedBy>
  <cp:revision>2</cp:revision>
  <cp:lastPrinted>2014-06-11T09:11:00Z</cp:lastPrinted>
  <dcterms:created xsi:type="dcterms:W3CDTF">2014-10-03T06:47:00Z</dcterms:created>
  <dcterms:modified xsi:type="dcterms:W3CDTF">2014-10-03T06:47:00Z</dcterms:modified>
</cp:coreProperties>
</file>